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D8" w:rsidRDefault="00CE0119" w:rsidP="00CE01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MERTON COMMUNITY SCHOOL DISTRICT</w:t>
      </w:r>
    </w:p>
    <w:p w:rsidR="00CE0119" w:rsidRDefault="00CE0119" w:rsidP="00CE01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Education</w:t>
      </w:r>
    </w:p>
    <w:p w:rsidR="00CE0119" w:rsidRDefault="00CE0119" w:rsidP="00CE01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Monday, January 27, 2020</w:t>
      </w:r>
    </w:p>
    <w:p w:rsidR="00CE0119" w:rsidRDefault="00CE0119" w:rsidP="00CE01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Approximately 7:15 p.m.</w:t>
      </w:r>
    </w:p>
    <w:p w:rsidR="00CE0119" w:rsidRDefault="00CE0119" w:rsidP="00CE01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E0119" w:rsidRDefault="00CE0119" w:rsidP="00CE011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called the meeting to order at 7:47 p.m.  The Pledge of Allegiance followed. 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announced the meeting was properly posted.  Board members present were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, Pfeiffer,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>.  District Administrator Russ was in attendance.  There were no reporters and approximately 5 citizens.</w:t>
      </w:r>
    </w:p>
    <w:p w:rsidR="00CE0119" w:rsidRDefault="00CE0119" w:rsidP="00CE01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0119" w:rsidRDefault="00CE0119" w:rsidP="00CE01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Agenda</w:t>
      </w:r>
    </w:p>
    <w:p w:rsidR="00CE0119" w:rsidRDefault="00CE0119" w:rsidP="00CE011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agenda as presented with the exception of moving Reports and Updates A.</w:t>
      </w:r>
      <w:r>
        <w:rPr>
          <w:rFonts w:ascii="Arial" w:hAnsi="Arial" w:cs="Arial"/>
          <w:sz w:val="24"/>
          <w:szCs w:val="24"/>
        </w:rPr>
        <w:tab/>
        <w:t>2019-2020 Audit Report</w:t>
      </w:r>
      <w:r w:rsidR="00157771">
        <w:rPr>
          <w:rFonts w:ascii="Arial" w:hAnsi="Arial" w:cs="Arial"/>
          <w:sz w:val="24"/>
          <w:szCs w:val="24"/>
        </w:rPr>
        <w:t>, to the beginning of the meeting.  Motion carried unanimously.</w:t>
      </w:r>
    </w:p>
    <w:p w:rsidR="00157771" w:rsidRDefault="00157771" w:rsidP="00CE01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7771" w:rsidRDefault="00157771" w:rsidP="00CE01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Reports and Updates</w:t>
      </w:r>
    </w:p>
    <w:p w:rsidR="00157771" w:rsidRDefault="00157771" w:rsidP="0015777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2019-2020 Audit Report</w:t>
      </w:r>
    </w:p>
    <w:p w:rsidR="00157771" w:rsidRDefault="004D6FC0" w:rsidP="001577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report from our Audit firm was presented to the board.</w:t>
      </w:r>
      <w:bookmarkStart w:id="0" w:name="_GoBack"/>
      <w:bookmarkEnd w:id="0"/>
    </w:p>
    <w:p w:rsidR="00157771" w:rsidRDefault="00157771" w:rsidP="001577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7771" w:rsidRDefault="00157771" w:rsidP="001577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Minutes</w:t>
      </w:r>
    </w:p>
    <w:p w:rsidR="00157771" w:rsidRDefault="00157771" w:rsidP="001577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board meeting minutes of Monday, December 16, 2019 @ 7:00 p.m.  Motion carried unanimously.</w:t>
      </w:r>
    </w:p>
    <w:p w:rsidR="00157771" w:rsidRDefault="00157771" w:rsidP="001577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7771" w:rsidRDefault="00157771" w:rsidP="001577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board meeting minutes of Monday, December 16, 2019 @ 6:00 p.m.  Motion carried unanimously.</w:t>
      </w:r>
    </w:p>
    <w:p w:rsidR="00157771" w:rsidRDefault="00157771" w:rsidP="001577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7771" w:rsidRDefault="00157771" w:rsidP="001577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Financial and Bill Listing</w:t>
      </w:r>
    </w:p>
    <w:p w:rsidR="00157771" w:rsidRDefault="00157771" w:rsidP="001577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</w:t>
      </w:r>
      <w:r w:rsidR="00804F73">
        <w:rPr>
          <w:rFonts w:ascii="Arial" w:hAnsi="Arial" w:cs="Arial"/>
          <w:sz w:val="24"/>
          <w:szCs w:val="24"/>
        </w:rPr>
        <w:t>Payroll Checks #553766 in the amount of $60.61, Check #553767-553768 in the amount of $75.26, Check #553769-553771 in the amount of $952.59, Direct Deposit #900050815-900050927 in the amount of $159,906.65, Direct Deposit #900050928-900051036 in the amount of $135,801.25, Direct Deposit #900051037-900051146 in the amount of $149,617.80, Wire #201900150-201900186 in the amount of $377,105.75, Accounts Payable Checks #54030-54085 in the amount of $148,330.05, AP Wire Transfer #201900147-201900184 in the amount of $9,841.48, Credit Card Transaction #122019 in the amount of $55,073.61 and ACH/Direct Deposit #192000117-192000136 in the amount of $2,594.35.  Motion carried unanimously.</w:t>
      </w:r>
    </w:p>
    <w:p w:rsidR="00804F73" w:rsidRDefault="00804F73" w:rsidP="001577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4F73" w:rsidRDefault="00804F73" w:rsidP="001577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Delegations to be Heard</w:t>
      </w:r>
    </w:p>
    <w:p w:rsidR="00804F73" w:rsidRDefault="009E142D" w:rsidP="001577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none.</w:t>
      </w:r>
    </w:p>
    <w:p w:rsidR="009E142D" w:rsidRDefault="009E142D" w:rsidP="001577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1B33" w:rsidRDefault="006C1B33" w:rsidP="006C1B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Administrator’s Report</w:t>
      </w:r>
    </w:p>
    <w:p w:rsidR="006C1B33" w:rsidRDefault="006C1B33" w:rsidP="006C1B3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</w:t>
      </w:r>
    </w:p>
    <w:p w:rsidR="006C1B33" w:rsidRDefault="006C1B33" w:rsidP="006C1B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 w:rsidR="00690BE1">
        <w:rPr>
          <w:rFonts w:ascii="Arial" w:hAnsi="Arial" w:cs="Arial"/>
          <w:sz w:val="24"/>
          <w:szCs w:val="24"/>
        </w:rPr>
        <w:t>Spindler</w:t>
      </w:r>
      <w:proofErr w:type="spellEnd"/>
      <w:r w:rsidR="00690BE1">
        <w:rPr>
          <w:rFonts w:ascii="Arial" w:hAnsi="Arial" w:cs="Arial"/>
          <w:sz w:val="24"/>
          <w:szCs w:val="24"/>
        </w:rPr>
        <w:t xml:space="preserve">, second by </w:t>
      </w:r>
      <w:proofErr w:type="spellStart"/>
      <w:r w:rsidR="00690BE1">
        <w:rPr>
          <w:rFonts w:ascii="Arial" w:hAnsi="Arial" w:cs="Arial"/>
          <w:sz w:val="24"/>
          <w:szCs w:val="24"/>
        </w:rPr>
        <w:t>Welnetz</w:t>
      </w:r>
      <w:proofErr w:type="spellEnd"/>
      <w:r w:rsidR="00690BE1">
        <w:rPr>
          <w:rFonts w:ascii="Arial" w:hAnsi="Arial" w:cs="Arial"/>
          <w:sz w:val="24"/>
          <w:szCs w:val="24"/>
        </w:rPr>
        <w:t xml:space="preserve"> to approve the donations with the exception of the PTO donation, which will be returned to the PTO.  Motion carried unanimously.</w:t>
      </w:r>
    </w:p>
    <w:p w:rsidR="00690BE1" w:rsidRDefault="00690BE1" w:rsidP="006C1B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0BE1" w:rsidRDefault="00690BE1" w:rsidP="006C1B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01/27/2020</w:t>
      </w:r>
    </w:p>
    <w:p w:rsidR="00690BE1" w:rsidRDefault="00690BE1" w:rsidP="006C1B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Two</w:t>
      </w:r>
    </w:p>
    <w:p w:rsidR="00690BE1" w:rsidRDefault="00690BE1" w:rsidP="006C1B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0BE1" w:rsidRDefault="00690BE1" w:rsidP="006C1B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resignation of Stephanie </w:t>
      </w:r>
      <w:proofErr w:type="spellStart"/>
      <w:r>
        <w:rPr>
          <w:rFonts w:ascii="Arial" w:hAnsi="Arial" w:cs="Arial"/>
          <w:sz w:val="24"/>
          <w:szCs w:val="24"/>
        </w:rPr>
        <w:t>Satula</w:t>
      </w:r>
      <w:proofErr w:type="spellEnd"/>
      <w:r>
        <w:rPr>
          <w:rFonts w:ascii="Arial" w:hAnsi="Arial" w:cs="Arial"/>
          <w:sz w:val="24"/>
          <w:szCs w:val="24"/>
        </w:rPr>
        <w:t xml:space="preserve"> as presented.  Motion carried unanimously.</w:t>
      </w:r>
    </w:p>
    <w:p w:rsidR="00690BE1" w:rsidRDefault="00690BE1" w:rsidP="006C1B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0BE1" w:rsidRDefault="00690BE1" w:rsidP="006C1B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Letter of Appointment for Joy </w:t>
      </w:r>
      <w:proofErr w:type="spellStart"/>
      <w:r>
        <w:rPr>
          <w:rFonts w:ascii="Arial" w:hAnsi="Arial" w:cs="Arial"/>
          <w:sz w:val="24"/>
          <w:szCs w:val="24"/>
        </w:rPr>
        <w:t>Buntrock</w:t>
      </w:r>
      <w:proofErr w:type="spellEnd"/>
      <w:r>
        <w:rPr>
          <w:rFonts w:ascii="Arial" w:hAnsi="Arial" w:cs="Arial"/>
          <w:sz w:val="24"/>
          <w:szCs w:val="24"/>
        </w:rPr>
        <w:t xml:space="preserve"> as presented.  Motion carried unanimously.</w:t>
      </w:r>
    </w:p>
    <w:p w:rsidR="00690BE1" w:rsidRDefault="00690BE1" w:rsidP="006C1B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0BE1" w:rsidRDefault="00690BE1" w:rsidP="006C1B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Committee Reports</w:t>
      </w:r>
    </w:p>
    <w:p w:rsidR="00690BE1" w:rsidRDefault="00690BE1" w:rsidP="00690BE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Finance Committee</w:t>
      </w:r>
    </w:p>
    <w:p w:rsidR="00690BE1" w:rsidRDefault="00690BE1" w:rsidP="00690B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committee recently met and discussed several items including:</w:t>
      </w:r>
    </w:p>
    <w:p w:rsidR="00690BE1" w:rsidRDefault="00690BE1" w:rsidP="00690B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Copier RFP, Audit Firm RFP, 2019-2020 Quarterly Budget update, January membership count, CPI update, Focus on Energy Funds and a discussion on LTD.</w:t>
      </w:r>
    </w:p>
    <w:p w:rsidR="00690BE1" w:rsidRDefault="00690BE1" w:rsidP="00690B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0BE1" w:rsidRDefault="00690BE1" w:rsidP="00690BE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Student Achievement Committee</w:t>
      </w:r>
    </w:p>
    <w:p w:rsidR="00690BE1" w:rsidRDefault="00B269C8" w:rsidP="00690B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committee recently met to discuss SEL for Students and Staff</w:t>
      </w:r>
      <w:r w:rsidR="00476214">
        <w:rPr>
          <w:rFonts w:ascii="Arial" w:hAnsi="Arial" w:cs="Arial"/>
          <w:sz w:val="24"/>
          <w:szCs w:val="24"/>
        </w:rPr>
        <w:t>.</w:t>
      </w:r>
    </w:p>
    <w:p w:rsidR="00476214" w:rsidRDefault="00476214" w:rsidP="00690B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6214" w:rsidRDefault="00476214" w:rsidP="00690B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Reports and Updates</w:t>
      </w:r>
    </w:p>
    <w:p w:rsidR="00476214" w:rsidRDefault="00476214" w:rsidP="0047621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2019-20 Audit Report</w:t>
      </w:r>
    </w:p>
    <w:p w:rsidR="00476214" w:rsidRDefault="00476214" w:rsidP="004762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Manager MacGregor reported to the BOE on the status of the 2019-2020 Audit Report.</w:t>
      </w:r>
    </w:p>
    <w:p w:rsidR="00476214" w:rsidRDefault="00476214" w:rsidP="004762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6214" w:rsidRDefault="00476214" w:rsidP="0047621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Principal’s Report</w:t>
      </w:r>
    </w:p>
    <w:p w:rsidR="00476214" w:rsidRDefault="00476214" w:rsidP="004762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Principal </w:t>
      </w:r>
      <w:proofErr w:type="spellStart"/>
      <w:r>
        <w:rPr>
          <w:rFonts w:ascii="Arial" w:hAnsi="Arial" w:cs="Arial"/>
          <w:sz w:val="24"/>
          <w:szCs w:val="24"/>
        </w:rPr>
        <w:t>Posick</w:t>
      </w:r>
      <w:proofErr w:type="spellEnd"/>
      <w:r>
        <w:rPr>
          <w:rFonts w:ascii="Arial" w:hAnsi="Arial" w:cs="Arial"/>
          <w:sz w:val="24"/>
          <w:szCs w:val="24"/>
        </w:rPr>
        <w:t xml:space="preserve"> and Stein reported to the BOE highlighting Staff Professional Development, Curriculum and Student Learnings and Community Support.</w:t>
      </w:r>
    </w:p>
    <w:p w:rsidR="00476214" w:rsidRDefault="00476214" w:rsidP="004762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6214" w:rsidRDefault="00476214" w:rsidP="004762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</w:t>
      </w:r>
    </w:p>
    <w:p w:rsidR="00476214" w:rsidRDefault="00476214" w:rsidP="0047621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Approve 2020-21 Open Enrollment Seat Allocation (Action)</w:t>
      </w:r>
    </w:p>
    <w:p w:rsidR="00476214" w:rsidRDefault="00476214" w:rsidP="004762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2020-21 Open Enrollment Seat Allocation as follows:</w:t>
      </w:r>
    </w:p>
    <w:p w:rsidR="00476214" w:rsidRDefault="00476214" w:rsidP="004762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4K – Unlimited</w:t>
      </w:r>
    </w:p>
    <w:p w:rsidR="00476214" w:rsidRDefault="00476214" w:rsidP="004762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5K – Unlimited</w:t>
      </w:r>
    </w:p>
    <w:p w:rsidR="00476214" w:rsidRDefault="00476214" w:rsidP="004762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476214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– Unlimited</w:t>
      </w:r>
    </w:p>
    <w:p w:rsidR="00476214" w:rsidRDefault="00476214" w:rsidP="004762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476214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– 2</w:t>
      </w:r>
    </w:p>
    <w:p w:rsidR="00476214" w:rsidRDefault="00476214" w:rsidP="004762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476214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– Unlimited</w:t>
      </w:r>
    </w:p>
    <w:p w:rsidR="00476214" w:rsidRDefault="00476214" w:rsidP="004762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47621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– Unlimited</w:t>
      </w:r>
    </w:p>
    <w:p w:rsidR="00476214" w:rsidRDefault="00476214" w:rsidP="004762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47621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– Unlimited</w:t>
      </w:r>
    </w:p>
    <w:p w:rsidR="00476214" w:rsidRDefault="00476214" w:rsidP="004762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47621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– Unlimited</w:t>
      </w:r>
    </w:p>
    <w:p w:rsidR="00476214" w:rsidRDefault="00476214" w:rsidP="004762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47621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– Unlimited</w:t>
      </w:r>
    </w:p>
    <w:p w:rsidR="00476214" w:rsidRDefault="00476214" w:rsidP="004762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47621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– 5</w:t>
      </w:r>
    </w:p>
    <w:p w:rsidR="00476214" w:rsidRDefault="00476214" w:rsidP="004762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Cross Categorical Special Education – 0</w:t>
      </w:r>
    </w:p>
    <w:p w:rsidR="00476214" w:rsidRDefault="00476214" w:rsidP="004762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Speech Only across the District – Unlimited</w:t>
      </w:r>
    </w:p>
    <w:p w:rsidR="00476214" w:rsidRDefault="00476214" w:rsidP="004762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carried unanimously.</w:t>
      </w:r>
    </w:p>
    <w:p w:rsidR="00476214" w:rsidRDefault="00476214" w:rsidP="004762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6214" w:rsidRDefault="00476214" w:rsidP="004762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6214" w:rsidRDefault="00476214" w:rsidP="004762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01/27/2020</w:t>
      </w:r>
    </w:p>
    <w:p w:rsidR="00476214" w:rsidRDefault="00476214" w:rsidP="004762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Three</w:t>
      </w:r>
    </w:p>
    <w:p w:rsidR="00476214" w:rsidRDefault="00476214" w:rsidP="004762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6214" w:rsidRDefault="00476214" w:rsidP="004762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Future Meeting and Agenda Items</w:t>
      </w:r>
    </w:p>
    <w:p w:rsidR="00476214" w:rsidRDefault="00476214" w:rsidP="004762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-February 24, 2020 @ 7:00 p.m.</w:t>
      </w:r>
    </w:p>
    <w:p w:rsidR="00476214" w:rsidRDefault="00476214" w:rsidP="004762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Forum</w:t>
      </w:r>
    </w:p>
    <w:p w:rsidR="00476214" w:rsidRDefault="00476214" w:rsidP="004762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Meeting</w:t>
      </w:r>
    </w:p>
    <w:p w:rsidR="00476214" w:rsidRDefault="00476214" w:rsidP="004762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-March 16, 2020 @ 7:00 p.m.</w:t>
      </w:r>
    </w:p>
    <w:p w:rsidR="00476214" w:rsidRDefault="00476214" w:rsidP="004762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Forum</w:t>
      </w:r>
    </w:p>
    <w:p w:rsidR="00476214" w:rsidRDefault="00476214" w:rsidP="004762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Meeting</w:t>
      </w:r>
    </w:p>
    <w:p w:rsidR="00476214" w:rsidRDefault="00476214" w:rsidP="004762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6214" w:rsidRDefault="00476214" w:rsidP="004762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adjourn at 8:57 p.m.  Motion carried unanimously.</w:t>
      </w:r>
    </w:p>
    <w:p w:rsidR="00476214" w:rsidRDefault="00476214" w:rsidP="004762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6214" w:rsidRDefault="00476214" w:rsidP="004762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:rsidR="00476214" w:rsidRDefault="00476214" w:rsidP="004762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6214" w:rsidRDefault="00476214" w:rsidP="004762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 Pfeiffer</w:t>
      </w:r>
    </w:p>
    <w:p w:rsidR="00476214" w:rsidRPr="00476214" w:rsidRDefault="00476214" w:rsidP="004762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Clerk</w:t>
      </w:r>
    </w:p>
    <w:p w:rsidR="00476214" w:rsidRPr="00476214" w:rsidRDefault="00476214" w:rsidP="0047621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269C8" w:rsidRDefault="00B269C8" w:rsidP="00690B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69C8" w:rsidRPr="00B269C8" w:rsidRDefault="00B269C8" w:rsidP="00690B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0119" w:rsidRPr="006C1B33" w:rsidRDefault="00CE0119" w:rsidP="006C1B3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C1B33">
        <w:rPr>
          <w:rFonts w:ascii="Arial" w:hAnsi="Arial" w:cs="Arial"/>
          <w:b/>
          <w:sz w:val="28"/>
          <w:szCs w:val="28"/>
        </w:rPr>
        <w:tab/>
      </w:r>
    </w:p>
    <w:sectPr w:rsidR="00CE0119" w:rsidRPr="006C1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0A41"/>
    <w:multiLevelType w:val="hybridMultilevel"/>
    <w:tmpl w:val="7BF00D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66B20"/>
    <w:multiLevelType w:val="hybridMultilevel"/>
    <w:tmpl w:val="69BCE0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2555D"/>
    <w:multiLevelType w:val="hybridMultilevel"/>
    <w:tmpl w:val="76B2EA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917E4"/>
    <w:multiLevelType w:val="hybridMultilevel"/>
    <w:tmpl w:val="D23AB2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5585C"/>
    <w:multiLevelType w:val="hybridMultilevel"/>
    <w:tmpl w:val="CF162DA0"/>
    <w:lvl w:ilvl="0" w:tplc="FDCE883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63FCA"/>
    <w:multiLevelType w:val="hybridMultilevel"/>
    <w:tmpl w:val="18049C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A3111"/>
    <w:multiLevelType w:val="hybridMultilevel"/>
    <w:tmpl w:val="002CD1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19"/>
    <w:rsid w:val="00157771"/>
    <w:rsid w:val="002D3060"/>
    <w:rsid w:val="00476214"/>
    <w:rsid w:val="004D6FC0"/>
    <w:rsid w:val="005E04DC"/>
    <w:rsid w:val="00690BE1"/>
    <w:rsid w:val="006C1B33"/>
    <w:rsid w:val="00772FD8"/>
    <w:rsid w:val="007A073E"/>
    <w:rsid w:val="00804F73"/>
    <w:rsid w:val="009E142D"/>
    <w:rsid w:val="00B269C8"/>
    <w:rsid w:val="00CE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78295"/>
  <w15:chartTrackingRefBased/>
  <w15:docId w15:val="{50DD5D9D-3188-4AD0-8948-6B167ACC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E04D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Schoolbook" w:eastAsiaTheme="majorEastAsia" w:hAnsi="Century Schoolbook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1577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2020-03-25T12:58:00Z</cp:lastPrinted>
  <dcterms:created xsi:type="dcterms:W3CDTF">2020-01-28T16:16:00Z</dcterms:created>
  <dcterms:modified xsi:type="dcterms:W3CDTF">2020-03-25T13:08:00Z</dcterms:modified>
</cp:coreProperties>
</file>